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BE" w:rsidRPr="000A0FBE" w:rsidRDefault="00083A66" w:rsidP="001C4FC9">
      <w:pPr>
        <w:spacing w:after="0"/>
        <w:outlineLvl w:val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83A66">
        <w:rPr>
          <w:rFonts w:ascii="Times New Roman" w:eastAsia="Times New Roman" w:hAnsi="Times New Roman" w:cs="Times New Roman"/>
          <w:b/>
          <w:bCs/>
          <w:sz w:val="30"/>
          <w:szCs w:val="30"/>
          <w:lang w:eastAsia="en-IN"/>
        </w:rPr>
        <w:t>Sub-Theme</w:t>
      </w:r>
      <w:r w:rsidR="001C4FC9" w:rsidRPr="00083A66">
        <w:rPr>
          <w:rFonts w:ascii="Times New Roman" w:eastAsia="Times New Roman" w:hAnsi="Times New Roman" w:cs="Times New Roman"/>
          <w:b/>
          <w:bCs/>
          <w:sz w:val="30"/>
          <w:szCs w:val="30"/>
          <w:lang w:eastAsia="en-IN"/>
        </w:rPr>
        <w:t xml:space="preserve"> : </w:t>
      </w:r>
      <w:r w:rsidR="000A0FBE" w:rsidRPr="00161D4B">
        <w:rPr>
          <w:rFonts w:ascii="Times New Roman" w:eastAsia="Times New Roman" w:hAnsi="Times New Roman" w:cs="Times New Roman"/>
          <w:b/>
          <w:bCs/>
          <w:sz w:val="30"/>
          <w:szCs w:val="30"/>
          <w:lang w:eastAsia="en-IN"/>
        </w:rPr>
        <w:t>Inclusive and Equitable Water Governance</w:t>
      </w:r>
      <w:r w:rsidR="000A0FBE" w:rsidRPr="00083A66">
        <w:rPr>
          <w:rFonts w:ascii="Times New Roman" w:eastAsia="Times New Roman" w:hAnsi="Times New Roman" w:cs="Times New Roman"/>
          <w:sz w:val="30"/>
          <w:szCs w:val="30"/>
          <w:lang w:eastAsia="en-IN"/>
        </w:rPr>
        <w:br/>
      </w:r>
      <w:r w:rsidR="000A0FBE" w:rsidRPr="00083A66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 xml:space="preserve">Topic: </w:t>
      </w:r>
      <w:r w:rsidR="00EC42B9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TF1-</w:t>
      </w:r>
      <w:r w:rsidR="000A0FBE" w:rsidRPr="00083A66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t>Equity in Water Allocation and Access to All Sectors</w:t>
      </w:r>
      <w:r w:rsidR="000A0FBE" w:rsidRPr="00083A66">
        <w:rPr>
          <w:rFonts w:ascii="Times New Roman" w:eastAsia="Times New Roman" w:hAnsi="Times New Roman" w:cs="Times New Roman"/>
          <w:b/>
          <w:bCs/>
          <w:sz w:val="26"/>
          <w:szCs w:val="26"/>
          <w:lang w:eastAsia="en-IN"/>
        </w:rPr>
        <w:br/>
      </w:r>
      <w:r w:rsidR="000A0FBE" w:rsidRPr="000A0FB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 of Session-in-Charge:</w:t>
      </w:r>
      <w:r w:rsidR="000A0FBE" w:rsidRPr="000A0F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5838C0" w:rsidRPr="005838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Mr. Kiran </w:t>
      </w:r>
      <w:proofErr w:type="spellStart"/>
      <w:r w:rsidR="005838C0" w:rsidRPr="005838C0">
        <w:rPr>
          <w:rFonts w:ascii="Times New Roman" w:eastAsia="Times New Roman" w:hAnsi="Times New Roman" w:cs="Times New Roman"/>
          <w:sz w:val="24"/>
          <w:szCs w:val="24"/>
          <w:lang w:eastAsia="en-IN"/>
        </w:rPr>
        <w:t>Pramanik</w:t>
      </w:r>
      <w:proofErr w:type="spellEnd"/>
      <w:r w:rsidR="005838C0" w:rsidRPr="005838C0">
        <w:rPr>
          <w:rFonts w:ascii="Times New Roman" w:eastAsia="Times New Roman" w:hAnsi="Times New Roman" w:cs="Times New Roman"/>
          <w:sz w:val="24"/>
          <w:szCs w:val="24"/>
          <w:lang w:eastAsia="en-IN"/>
        </w:rPr>
        <w:t>, Director</w:t>
      </w:r>
      <w:r w:rsidR="005838C0">
        <w:rPr>
          <w:rFonts w:ascii="Times New Roman" w:eastAsia="Times New Roman" w:hAnsi="Times New Roman" w:cs="Times New Roman"/>
          <w:sz w:val="24"/>
          <w:szCs w:val="24"/>
          <w:lang w:eastAsia="en-IN"/>
        </w:rPr>
        <w:t>, CWC</w:t>
      </w:r>
    </w:p>
    <w:p w:rsidR="000A0FBE" w:rsidRPr="000A0FBE" w:rsidRDefault="000A0FBE" w:rsidP="005838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A0FBE" w:rsidRPr="00087DAC" w:rsidRDefault="00083A66" w:rsidP="005838C0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87DA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Background:</w:t>
      </w:r>
    </w:p>
    <w:p w:rsidR="005838C0" w:rsidRPr="00083A66" w:rsidRDefault="005838C0" w:rsidP="005838C0">
      <w:p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83A66">
        <w:rPr>
          <w:rFonts w:ascii="Times New Roman" w:eastAsia="Times New Roman" w:hAnsi="Times New Roman" w:cs="Times New Roman"/>
          <w:sz w:val="24"/>
          <w:szCs w:val="24"/>
          <w:lang w:eastAsia="en-IN"/>
        </w:rPr>
        <w:t>Equity in water allocation is fundamental to inclusive and sustainable water governance.</w:t>
      </w:r>
      <w:r w:rsidR="00083A6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</w:t>
      </w:r>
      <w:r w:rsidR="00083A66" w:rsidRPr="00083A66">
        <w:rPr>
          <w:rFonts w:ascii="Times New Roman" w:eastAsia="Times New Roman" w:hAnsi="Times New Roman" w:cs="Times New Roman"/>
          <w:sz w:val="24"/>
          <w:szCs w:val="24"/>
          <w:lang w:eastAsia="en-IN"/>
        </w:rPr>
        <w:t>ompetition</w:t>
      </w:r>
      <w:r w:rsidRPr="00083A6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water across domestic, agriculture, industry, and environmental sectors is intensifying. Equitable allocation requires that water distribution is fair, transparent, and guided by priority needs, vulnerability, efficiency, and long-term sustainability</w:t>
      </w:r>
      <w:r w:rsidR="00C87F0B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083A6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ensuring </w:t>
      </w:r>
      <w:r w:rsidR="00C87F0B">
        <w:rPr>
          <w:rFonts w:ascii="Times New Roman" w:eastAsia="Times New Roman" w:hAnsi="Times New Roman" w:cs="Times New Roman"/>
          <w:sz w:val="24"/>
          <w:szCs w:val="24"/>
          <w:lang w:eastAsia="en-IN"/>
        </w:rPr>
        <w:t>inclusive allocation</w:t>
      </w:r>
      <w:r w:rsidR="00083A6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especially in the many water stressed basins in the country. Major challenges in this regard pertain to </w:t>
      </w:r>
      <w:r w:rsidRPr="00083A66">
        <w:rPr>
          <w:rFonts w:ascii="Times New Roman" w:eastAsia="Times New Roman" w:hAnsi="Times New Roman" w:cs="Times New Roman"/>
          <w:sz w:val="24"/>
          <w:szCs w:val="24"/>
          <w:lang w:eastAsia="en-IN"/>
        </w:rPr>
        <w:t>over-extraction, inefficient use, growing demand–supply gaps</w:t>
      </w:r>
      <w:r w:rsidR="00C87F0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="00083A66">
        <w:rPr>
          <w:rFonts w:ascii="Times New Roman" w:eastAsia="Times New Roman" w:hAnsi="Times New Roman" w:cs="Times New Roman"/>
          <w:sz w:val="24"/>
          <w:szCs w:val="24"/>
          <w:lang w:eastAsia="en-IN"/>
        </w:rPr>
        <w:t>u</w:t>
      </w:r>
      <w:r w:rsidRPr="00083A66">
        <w:rPr>
          <w:rFonts w:ascii="Times New Roman" w:eastAsia="Times New Roman" w:hAnsi="Times New Roman" w:cs="Times New Roman"/>
          <w:sz w:val="24"/>
          <w:szCs w:val="24"/>
          <w:lang w:eastAsia="en-IN"/>
        </w:rPr>
        <w:t>nregulated groundwater extraction</w:t>
      </w:r>
      <w:r w:rsidR="00C87F0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83A66">
        <w:rPr>
          <w:rFonts w:ascii="Times New Roman" w:eastAsia="Times New Roman" w:hAnsi="Times New Roman" w:cs="Times New Roman"/>
          <w:sz w:val="24"/>
          <w:szCs w:val="24"/>
          <w:lang w:eastAsia="en-IN"/>
        </w:rPr>
        <w:t>often linked to affordability rather than need</w:t>
      </w:r>
      <w:r w:rsidR="00C87F0B">
        <w:rPr>
          <w:rFonts w:ascii="Times New Roman" w:eastAsia="Times New Roman" w:hAnsi="Times New Roman" w:cs="Times New Roman"/>
          <w:sz w:val="24"/>
          <w:szCs w:val="24"/>
          <w:lang w:eastAsia="en-IN"/>
        </w:rPr>
        <w:t>, etc</w:t>
      </w:r>
      <w:r w:rsidRPr="00083A6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Climate variability, weak water accounting, limited institutional coordination, and inadequate participatory mechanisms </w:t>
      </w:r>
      <w:r w:rsidR="00083A66">
        <w:rPr>
          <w:rFonts w:ascii="Times New Roman" w:eastAsia="Times New Roman" w:hAnsi="Times New Roman" w:cs="Times New Roman"/>
          <w:sz w:val="24"/>
          <w:szCs w:val="24"/>
          <w:lang w:eastAsia="en-IN"/>
        </w:rPr>
        <w:t>also</w:t>
      </w:r>
      <w:r w:rsidRPr="00083A6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contribute to disputes and inefficient outcomes, highlighting the need for stronger basin-level planning, transparent allocation frameworks, and integration of environmental flow requirements.</w:t>
      </w:r>
    </w:p>
    <w:p w:rsidR="005838C0" w:rsidRPr="005838C0" w:rsidRDefault="005838C0" w:rsidP="005838C0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0A0FBE" w:rsidRPr="00087DAC" w:rsidRDefault="0077080C" w:rsidP="005838C0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87DA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Objective: </w:t>
      </w:r>
    </w:p>
    <w:p w:rsidR="000A0FBE" w:rsidRPr="005838C0" w:rsidRDefault="00C87F0B" w:rsidP="005838C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To develop u</w:t>
      </w:r>
      <w:r w:rsidR="000A0FBE" w:rsidRPr="005838C0">
        <w:rPr>
          <w:rFonts w:ascii="Times New Roman" w:eastAsia="Times New Roman" w:hAnsi="Times New Roman" w:cs="Times New Roman"/>
          <w:sz w:val="24"/>
          <w:szCs w:val="24"/>
          <w:lang w:eastAsia="en-IN"/>
        </w:rPr>
        <w:t>nderstanding of equity in water allocation and access across sectors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0A0FBE" w:rsidRPr="005838C0" w:rsidRDefault="000A0FBE" w:rsidP="005838C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38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discuss governance </w:t>
      </w:r>
      <w:r w:rsidR="00C87F0B">
        <w:rPr>
          <w:rFonts w:ascii="Times New Roman" w:eastAsia="Times New Roman" w:hAnsi="Times New Roman" w:cs="Times New Roman"/>
          <w:sz w:val="24"/>
          <w:szCs w:val="24"/>
          <w:lang w:eastAsia="en-IN"/>
        </w:rPr>
        <w:t>issues regarding</w:t>
      </w:r>
      <w:r w:rsidRPr="005838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fair distribution, especially in stressed river basins.</w:t>
      </w:r>
    </w:p>
    <w:p w:rsidR="000A0FBE" w:rsidRPr="005838C0" w:rsidRDefault="000A0FBE" w:rsidP="005838C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38C0">
        <w:rPr>
          <w:rFonts w:ascii="Times New Roman" w:eastAsia="Times New Roman" w:hAnsi="Times New Roman" w:cs="Times New Roman"/>
          <w:sz w:val="24"/>
          <w:szCs w:val="24"/>
          <w:lang w:eastAsia="en-IN"/>
        </w:rPr>
        <w:t>To explore institutional mechanisms and policy frameworks for equitable and transparent allocation, including stakeholder participation and dispute resolution mechanisms.</w:t>
      </w:r>
    </w:p>
    <w:p w:rsidR="000A0FBE" w:rsidRPr="005838C0" w:rsidRDefault="000A0FBE" w:rsidP="005838C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38C0">
        <w:rPr>
          <w:rFonts w:ascii="Times New Roman" w:eastAsia="Times New Roman" w:hAnsi="Times New Roman" w:cs="Times New Roman"/>
          <w:sz w:val="24"/>
          <w:szCs w:val="24"/>
          <w:lang w:eastAsia="en-IN"/>
        </w:rPr>
        <w:t>To highlight the role of water accounting, demand management, and efficiency improvement in achieving equitable access and reducing inter-sectoral conflicts.</w:t>
      </w:r>
    </w:p>
    <w:p w:rsidR="000A0FBE" w:rsidRDefault="000A0FBE" w:rsidP="005838C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38C0">
        <w:rPr>
          <w:rFonts w:ascii="Times New Roman" w:eastAsia="Times New Roman" w:hAnsi="Times New Roman" w:cs="Times New Roman"/>
          <w:sz w:val="24"/>
          <w:szCs w:val="24"/>
          <w:lang w:eastAsia="en-IN"/>
        </w:rPr>
        <w:t>To identify pathways for integrating climate resilience, sustainability, and environmental flow requirements into allocation decisions.</w:t>
      </w:r>
    </w:p>
    <w:p w:rsidR="0077080C" w:rsidRDefault="0077080C" w:rsidP="0077080C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77080C" w:rsidRPr="00087DAC" w:rsidRDefault="0077080C" w:rsidP="0077080C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87DA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Suggested Sub-Topics:</w:t>
      </w:r>
    </w:p>
    <w:p w:rsidR="0077080C" w:rsidRPr="0077080C" w:rsidRDefault="0077080C" w:rsidP="0077080C">
      <w:pPr>
        <w:pStyle w:val="NormalWeb"/>
        <w:numPr>
          <w:ilvl w:val="0"/>
          <w:numId w:val="7"/>
        </w:numPr>
        <w:spacing w:before="0" w:beforeAutospacing="0" w:after="0" w:afterAutospacing="0" w:line="300" w:lineRule="auto"/>
        <w:jc w:val="both"/>
        <w:rPr>
          <w:b/>
          <w:bCs/>
        </w:rPr>
      </w:pPr>
      <w:r>
        <w:rPr>
          <w:rStyle w:val="Strong"/>
          <w:b w:val="0"/>
          <w:bCs w:val="0"/>
        </w:rPr>
        <w:t>Equity &amp; Policy Frameworks.</w:t>
      </w:r>
    </w:p>
    <w:p w:rsidR="0077080C" w:rsidRPr="0077080C" w:rsidRDefault="0077080C" w:rsidP="0077080C">
      <w:pPr>
        <w:pStyle w:val="NormalWeb"/>
        <w:numPr>
          <w:ilvl w:val="0"/>
          <w:numId w:val="7"/>
        </w:numPr>
        <w:spacing w:before="0" w:beforeAutospacing="0" w:after="0" w:afterAutospacing="0" w:line="300" w:lineRule="auto"/>
        <w:jc w:val="both"/>
        <w:rPr>
          <w:b/>
          <w:bCs/>
        </w:rPr>
      </w:pPr>
      <w:r>
        <w:rPr>
          <w:rStyle w:val="Strong"/>
          <w:b w:val="0"/>
          <w:bCs w:val="0"/>
        </w:rPr>
        <w:t>Basin-Level Allocation Planning.</w:t>
      </w:r>
    </w:p>
    <w:p w:rsidR="0077080C" w:rsidRPr="0077080C" w:rsidRDefault="0077080C" w:rsidP="0077080C">
      <w:pPr>
        <w:pStyle w:val="NormalWeb"/>
        <w:numPr>
          <w:ilvl w:val="0"/>
          <w:numId w:val="7"/>
        </w:numPr>
        <w:spacing w:before="0" w:beforeAutospacing="0" w:after="0" w:afterAutospacing="0" w:line="300" w:lineRule="auto"/>
        <w:jc w:val="both"/>
        <w:rPr>
          <w:b/>
          <w:bCs/>
        </w:rPr>
      </w:pPr>
      <w:r w:rsidRPr="0077080C">
        <w:rPr>
          <w:rStyle w:val="Strong"/>
          <w:b w:val="0"/>
          <w:bCs w:val="0"/>
        </w:rPr>
        <w:t>Gr</w:t>
      </w:r>
      <w:r>
        <w:rPr>
          <w:rStyle w:val="Strong"/>
          <w:b w:val="0"/>
          <w:bCs w:val="0"/>
        </w:rPr>
        <w:t>oundwater Access and Regulation.</w:t>
      </w:r>
    </w:p>
    <w:p w:rsidR="0077080C" w:rsidRPr="0077080C" w:rsidRDefault="0077080C" w:rsidP="0077080C">
      <w:pPr>
        <w:pStyle w:val="NormalWeb"/>
        <w:numPr>
          <w:ilvl w:val="0"/>
          <w:numId w:val="7"/>
        </w:numPr>
        <w:spacing w:before="0" w:beforeAutospacing="0" w:after="0" w:afterAutospacing="0" w:line="300" w:lineRule="auto"/>
        <w:jc w:val="both"/>
        <w:rPr>
          <w:b/>
          <w:bCs/>
        </w:rPr>
      </w:pPr>
      <w:r w:rsidRPr="0077080C">
        <w:rPr>
          <w:rStyle w:val="Strong"/>
          <w:b w:val="0"/>
          <w:bCs w:val="0"/>
        </w:rPr>
        <w:t>Water Accounting &amp; Transparen</w:t>
      </w:r>
      <w:r>
        <w:rPr>
          <w:rStyle w:val="Strong"/>
          <w:b w:val="0"/>
          <w:bCs w:val="0"/>
        </w:rPr>
        <w:t>cy Tools.</w:t>
      </w:r>
    </w:p>
    <w:p w:rsidR="0077080C" w:rsidRPr="0077080C" w:rsidRDefault="0077080C" w:rsidP="0077080C">
      <w:pPr>
        <w:pStyle w:val="NormalWeb"/>
        <w:numPr>
          <w:ilvl w:val="0"/>
          <w:numId w:val="7"/>
        </w:numPr>
        <w:spacing w:before="0" w:beforeAutospacing="0" w:after="0" w:afterAutospacing="0" w:line="300" w:lineRule="auto"/>
        <w:jc w:val="both"/>
        <w:rPr>
          <w:b/>
          <w:bCs/>
        </w:rPr>
      </w:pPr>
      <w:r w:rsidRPr="0077080C">
        <w:rPr>
          <w:rStyle w:val="Strong"/>
          <w:b w:val="0"/>
          <w:bCs w:val="0"/>
        </w:rPr>
        <w:t>Climate Resilience and Risk-Based Allocation.</w:t>
      </w:r>
    </w:p>
    <w:p w:rsidR="0077080C" w:rsidRPr="0077080C" w:rsidRDefault="0077080C" w:rsidP="0077080C">
      <w:pPr>
        <w:pStyle w:val="NormalWeb"/>
        <w:numPr>
          <w:ilvl w:val="0"/>
          <w:numId w:val="7"/>
        </w:numPr>
        <w:spacing w:before="0" w:beforeAutospacing="0" w:after="0" w:afterAutospacing="0" w:line="300" w:lineRule="auto"/>
        <w:jc w:val="both"/>
        <w:rPr>
          <w:b/>
          <w:bCs/>
        </w:rPr>
      </w:pPr>
      <w:r w:rsidRPr="0077080C">
        <w:rPr>
          <w:rStyle w:val="Strong"/>
          <w:b w:val="0"/>
          <w:bCs w:val="0"/>
        </w:rPr>
        <w:t>Case Studies / Innovations / Success Stories.</w:t>
      </w:r>
    </w:p>
    <w:p w:rsidR="000A0FBE" w:rsidRPr="000A0FBE" w:rsidRDefault="000A0FBE" w:rsidP="005838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0A0FBE" w:rsidRPr="00087DAC" w:rsidRDefault="00C87F0B" w:rsidP="005838C0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bookmarkStart w:id="0" w:name="_GoBack"/>
      <w:r w:rsidRPr="00087DA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Expected Outcomes: </w:t>
      </w:r>
    </w:p>
    <w:bookmarkEnd w:id="0"/>
    <w:p w:rsidR="000A0FBE" w:rsidRPr="005838C0" w:rsidRDefault="000A0FBE" w:rsidP="00716AE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38C0">
        <w:rPr>
          <w:rFonts w:ascii="Times New Roman" w:eastAsia="Times New Roman" w:hAnsi="Times New Roman" w:cs="Times New Roman"/>
          <w:sz w:val="24"/>
          <w:szCs w:val="24"/>
          <w:lang w:eastAsia="en-IN"/>
        </w:rPr>
        <w:t>Enhanced understanding of equity-based water allocation approaches and inclusive governance mechanisms.</w:t>
      </w:r>
    </w:p>
    <w:p w:rsidR="000A0FBE" w:rsidRPr="005838C0" w:rsidRDefault="000A0FBE" w:rsidP="00716AE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38C0">
        <w:rPr>
          <w:rFonts w:ascii="Times New Roman" w:eastAsia="Times New Roman" w:hAnsi="Times New Roman" w:cs="Times New Roman"/>
          <w:sz w:val="24"/>
          <w:szCs w:val="24"/>
          <w:lang w:eastAsia="en-IN"/>
        </w:rPr>
        <w:t>Policy-relevant recommendations for improving water allocation frameworks across sectors and regions.</w:t>
      </w:r>
    </w:p>
    <w:p w:rsidR="000A0FBE" w:rsidRPr="005838C0" w:rsidRDefault="000A0FBE" w:rsidP="00716AE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38C0">
        <w:rPr>
          <w:rFonts w:ascii="Times New Roman" w:eastAsia="Times New Roman" w:hAnsi="Times New Roman" w:cs="Times New Roman"/>
          <w:sz w:val="24"/>
          <w:szCs w:val="24"/>
          <w:lang w:eastAsia="en-IN"/>
        </w:rPr>
        <w:t>Actionable suggestions for strengthening water accounting, transparency, and institutional coordination for equitable access.</w:t>
      </w:r>
    </w:p>
    <w:p w:rsidR="000A0FBE" w:rsidRDefault="000A0FBE" w:rsidP="00716AE5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838C0">
        <w:rPr>
          <w:rFonts w:ascii="Times New Roman" w:eastAsia="Times New Roman" w:hAnsi="Times New Roman" w:cs="Times New Roman"/>
          <w:sz w:val="24"/>
          <w:szCs w:val="24"/>
          <w:lang w:eastAsia="en-IN"/>
        </w:rPr>
        <w:t>Increased awareness of best practices and lessons from national and international experiences on equitable water sharing.</w:t>
      </w:r>
    </w:p>
    <w:p w:rsidR="00C87F0B" w:rsidRPr="005838C0" w:rsidRDefault="00C87F0B" w:rsidP="00C87F0B">
      <w:pPr>
        <w:pStyle w:val="ListParagraph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**</w:t>
      </w:r>
    </w:p>
    <w:p w:rsidR="005B2D05" w:rsidRPr="005838C0" w:rsidRDefault="005B2D05" w:rsidP="005838C0">
      <w:pPr>
        <w:spacing w:after="0"/>
        <w:rPr>
          <w:sz w:val="24"/>
          <w:szCs w:val="24"/>
        </w:rPr>
      </w:pPr>
    </w:p>
    <w:sectPr w:rsidR="005B2D05" w:rsidRPr="005838C0" w:rsidSect="005838C0">
      <w:pgSz w:w="11906" w:h="16838"/>
      <w:pgMar w:top="709" w:right="11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A3D"/>
    <w:multiLevelType w:val="hybridMultilevel"/>
    <w:tmpl w:val="61D6A6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16F80"/>
    <w:multiLevelType w:val="multilevel"/>
    <w:tmpl w:val="A05A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30E09"/>
    <w:multiLevelType w:val="hybridMultilevel"/>
    <w:tmpl w:val="4CCA30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312F3"/>
    <w:multiLevelType w:val="multilevel"/>
    <w:tmpl w:val="4CC6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E0DF1"/>
    <w:multiLevelType w:val="multilevel"/>
    <w:tmpl w:val="F05C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513DA"/>
    <w:multiLevelType w:val="hybridMultilevel"/>
    <w:tmpl w:val="67C46160"/>
    <w:lvl w:ilvl="0" w:tplc="072435B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15F54"/>
    <w:multiLevelType w:val="hybridMultilevel"/>
    <w:tmpl w:val="E18C3276"/>
    <w:lvl w:ilvl="0" w:tplc="E452A5F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C7427"/>
    <w:multiLevelType w:val="hybridMultilevel"/>
    <w:tmpl w:val="95C07B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12812"/>
    <w:multiLevelType w:val="hybridMultilevel"/>
    <w:tmpl w:val="8C5ABCE4"/>
    <w:lvl w:ilvl="0" w:tplc="E452A5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D50A4"/>
    <w:multiLevelType w:val="hybridMultilevel"/>
    <w:tmpl w:val="F1EED370"/>
    <w:lvl w:ilvl="0" w:tplc="072435B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A3F02"/>
    <w:multiLevelType w:val="multilevel"/>
    <w:tmpl w:val="D9E6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5279F1"/>
    <w:multiLevelType w:val="multilevel"/>
    <w:tmpl w:val="C81A0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E46955"/>
    <w:multiLevelType w:val="hybridMultilevel"/>
    <w:tmpl w:val="8BD04F3C"/>
    <w:lvl w:ilvl="0" w:tplc="40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71203"/>
    <w:multiLevelType w:val="hybridMultilevel"/>
    <w:tmpl w:val="C68471A0"/>
    <w:lvl w:ilvl="0" w:tplc="072435B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4"/>
  </w:num>
  <w:num w:numId="5">
    <w:abstractNumId w:val="10"/>
  </w:num>
  <w:num w:numId="6">
    <w:abstractNumId w:val="7"/>
  </w:num>
  <w:num w:numId="7">
    <w:abstractNumId w:val="13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1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C0"/>
    <w:rsid w:val="00083A66"/>
    <w:rsid w:val="00087DAC"/>
    <w:rsid w:val="000A0FBE"/>
    <w:rsid w:val="00161D4B"/>
    <w:rsid w:val="001C4FC9"/>
    <w:rsid w:val="005838C0"/>
    <w:rsid w:val="005B2D05"/>
    <w:rsid w:val="00630110"/>
    <w:rsid w:val="00716AE5"/>
    <w:rsid w:val="0077080C"/>
    <w:rsid w:val="00896BC0"/>
    <w:rsid w:val="009302AF"/>
    <w:rsid w:val="00AE5262"/>
    <w:rsid w:val="00C87F0B"/>
    <w:rsid w:val="00DE769A"/>
    <w:rsid w:val="00EC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5BA7CD-61DE-46C0-B450-2B3972A6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8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8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CWC</dc:creator>
  <cp:lastModifiedBy>Danish</cp:lastModifiedBy>
  <cp:revision>5</cp:revision>
  <dcterms:created xsi:type="dcterms:W3CDTF">2026-02-23T05:49:00Z</dcterms:created>
  <dcterms:modified xsi:type="dcterms:W3CDTF">2026-03-18T07:18:00Z</dcterms:modified>
</cp:coreProperties>
</file>